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48C6" w14:textId="77777777" w:rsidR="007E5E4F" w:rsidRDefault="007E5E4F" w:rsidP="007E5E4F">
      <w:pPr>
        <w:pStyle w:val="Kop2"/>
      </w:pPr>
      <w:r>
        <w:t>66.20.</w:t>
      </w:r>
      <w:r>
        <w:tab/>
        <w:t>compacte module voor geïntegreerde systemen - algemeen</w:t>
      </w:r>
    </w:p>
    <w:p w14:paraId="31599BDD" w14:textId="77777777" w:rsidR="007E5E4F" w:rsidRDefault="007E5E4F" w:rsidP="007E5E4F">
      <w:pPr>
        <w:pStyle w:val="Kop6"/>
      </w:pPr>
      <w:r>
        <w:t>Omschrijving</w:t>
      </w:r>
    </w:p>
    <w:p w14:paraId="55BD2F25" w14:textId="77777777" w:rsidR="007E5E4F" w:rsidRDefault="007E5E4F" w:rsidP="007E5E4F">
      <w:pPr>
        <w:pStyle w:val="Plattetekst"/>
      </w:pPr>
      <w:r>
        <w:t xml:space="preserve">Leveren en plaatsen van een geprefabriceerde “module”, “box”, “unit”, waarin op een modulaire manier een groot aantal technische onderdelen (zie verder) kunnen worden samengebracht op een compacte manier en via plug- </w:t>
      </w:r>
      <w:proofErr w:type="spellStart"/>
      <w:r>
        <w:t>and-play</w:t>
      </w:r>
      <w:proofErr w:type="spellEnd"/>
      <w:r>
        <w:t xml:space="preserve"> kunnen worden aangesloten;</w:t>
      </w:r>
    </w:p>
    <w:p w14:paraId="55C691AE" w14:textId="77777777" w:rsidR="007E5E4F" w:rsidRDefault="007E5E4F" w:rsidP="007E5E4F">
      <w:pPr>
        <w:pStyle w:val="Plattetekst"/>
      </w:pPr>
      <w:r>
        <w:t>De module dient te voldoen aan volgende randvoorwaarden:</w:t>
      </w:r>
    </w:p>
    <w:p w14:paraId="3DCFA7FD" w14:textId="77777777" w:rsidR="007E5E4F" w:rsidRDefault="007E5E4F" w:rsidP="007E5E4F">
      <w:pPr>
        <w:pStyle w:val="Plattetekst"/>
        <w:numPr>
          <w:ilvl w:val="0"/>
          <w:numId w:val="2"/>
        </w:numPr>
      </w:pPr>
      <w:r>
        <w:t xml:space="preserve">De afmetingen (lengte x breedte x hoogte) en de </w:t>
      </w:r>
      <w:proofErr w:type="spellStart"/>
      <w:r>
        <w:t>volumetrische</w:t>
      </w:r>
      <w:proofErr w:type="spellEnd"/>
      <w:r>
        <w:t xml:space="preserve"> vorm zijn zodanig dat de module kan geïntegreerd worden in de beschikbare ruimte zoals deze op de bouwplannen is voorzien en zodat alle hieronder beschreven technische onderdelen voor het hieronder aantal beschreven woon-units kan worden geïntegreerd.</w:t>
      </w:r>
    </w:p>
    <w:p w14:paraId="626C5E57" w14:textId="77777777" w:rsidR="007E5E4F" w:rsidRDefault="007E5E4F" w:rsidP="007E5E4F">
      <w:pPr>
        <w:pStyle w:val="Plattetekst"/>
        <w:numPr>
          <w:ilvl w:val="0"/>
          <w:numId w:val="2"/>
        </w:numPr>
      </w:pPr>
      <w:r>
        <w:t>De samenstellende bouwkundige delen van module zijn in de werkplaats geassembleerd waardoor de module in zijn geheel op de bouwplaats kan worden geleverd en geplaatst.  Om het leveren op de bouwplaats mogelijk te maken zijn de nodige voorzieningen en beschermingen (hijshaken,..) voorzien.</w:t>
      </w:r>
    </w:p>
    <w:p w14:paraId="726C09BE" w14:textId="77777777" w:rsidR="007E5E4F" w:rsidRDefault="007E5E4F" w:rsidP="007E5E4F">
      <w:pPr>
        <w:pStyle w:val="Plattetekst"/>
        <w:numPr>
          <w:ilvl w:val="0"/>
          <w:numId w:val="2"/>
        </w:numPr>
      </w:pPr>
      <w:r>
        <w:t>De algemene stijfheid en stevigheid van de box kan gegarandeerd worden door hetzij een dragend frame met invulpanelen, hetzij een geheel van op zich voldoende stijve en stevig verbonden panelen.  De montage in of op het gebouw mag de functionele eigenschappen (waterdichting, isolatie,…) van het geheel niet nadelig beïnvloeden.</w:t>
      </w:r>
    </w:p>
    <w:p w14:paraId="35BEAB92" w14:textId="77777777" w:rsidR="007E5E4F" w:rsidRDefault="007E5E4F" w:rsidP="007E5E4F">
      <w:pPr>
        <w:pStyle w:val="Plattetekst"/>
        <w:numPr>
          <w:ilvl w:val="0"/>
          <w:numId w:val="2"/>
        </w:numPr>
      </w:pPr>
      <w:r>
        <w:t xml:space="preserve">bij plaatsing in buitenomgeving dient de </w:t>
      </w:r>
      <w:proofErr w:type="spellStart"/>
      <w:r>
        <w:t>wind-en</w:t>
      </w:r>
      <w:proofErr w:type="spellEnd"/>
      <w:r>
        <w:t xml:space="preserve"> waterdichtheid gegarandeerd te zijn, en dient het geheel thermisch geïsoleerd te zijn om als een vorstvrije ruimte te kunnen fungeren. </w:t>
      </w:r>
    </w:p>
    <w:p w14:paraId="6EC8C917" w14:textId="77777777" w:rsidR="007E5E4F" w:rsidRDefault="007E5E4F" w:rsidP="007E5E4F">
      <w:pPr>
        <w:pStyle w:val="Plattetekst"/>
        <w:numPr>
          <w:ilvl w:val="0"/>
          <w:numId w:val="2"/>
        </w:numPr>
      </w:pPr>
      <w:r>
        <w:t>De module voldoet aan de brandreactieklasse zoals geëist in bijlage 5 van de wet.</w:t>
      </w:r>
    </w:p>
    <w:p w14:paraId="27D77B62" w14:textId="77777777" w:rsidR="007E5E4F" w:rsidRDefault="007E5E4F" w:rsidP="007E5E4F">
      <w:pPr>
        <w:pStyle w:val="Plattetekst"/>
      </w:pPr>
    </w:p>
    <w:p w14:paraId="10A5142E" w14:textId="77777777" w:rsidR="007E5E4F" w:rsidRDefault="007E5E4F" w:rsidP="007E5E4F">
      <w:pPr>
        <w:pStyle w:val="Plattetekst"/>
      </w:pPr>
      <w:r>
        <w:t>De buitenzijde heeft volgend aspect:</w:t>
      </w:r>
    </w:p>
    <w:p w14:paraId="2803D751" w14:textId="77777777" w:rsidR="007E5E4F" w:rsidRDefault="007E5E4F" w:rsidP="007E5E4F">
      <w:pPr>
        <w:pStyle w:val="Plattetekst"/>
        <w:numPr>
          <w:ilvl w:val="0"/>
          <w:numId w:val="3"/>
        </w:numPr>
      </w:pPr>
      <w:r>
        <w:t>Hetzij een beplating uit gelakt staal of aluminium</w:t>
      </w:r>
    </w:p>
    <w:p w14:paraId="36681784" w14:textId="77777777" w:rsidR="007E5E4F" w:rsidRDefault="007E5E4F" w:rsidP="007E5E4F">
      <w:pPr>
        <w:pStyle w:val="Plattetekst"/>
        <w:numPr>
          <w:ilvl w:val="0"/>
          <w:numId w:val="3"/>
        </w:numPr>
      </w:pPr>
      <w:r>
        <w:t>Hetzij een afwerking die beschreven en begrepen is in een ander artikel van dit bestek.</w:t>
      </w:r>
    </w:p>
    <w:p w14:paraId="525AFBAB" w14:textId="77777777" w:rsidR="007E5E4F" w:rsidRDefault="007E5E4F" w:rsidP="007E5E4F">
      <w:pPr>
        <w:pStyle w:val="Plattetekst"/>
      </w:pPr>
    </w:p>
    <w:p w14:paraId="0775AB5D" w14:textId="77777777" w:rsidR="007E5E4F" w:rsidRDefault="007E5E4F" w:rsidP="007E5E4F">
      <w:pPr>
        <w:pStyle w:val="Plattetekst"/>
      </w:pPr>
      <w:r>
        <w:t>De box dient modulair te worden geconcipieerd zodat een veelheid van technieken kunnen worden geïntegreerd en zodat het in- en uit-pluggen van technische onderdelen volgens een voorafgaand plan kan gebeuren;  ook de noodzakelijke doorgangen van en naar de module vanuit het gebouw dienen planmatig te worden ontworpen en voorzien.  Om dit aan te tonen zullen technische detailtekeningen vooraf worden voorgelegd, rekening houdend met volgende technische toestellen die een plaats dienen te kunnen krijgen in de module:</w:t>
      </w:r>
    </w:p>
    <w:p w14:paraId="483BB2E7" w14:textId="77777777" w:rsidR="007E5E4F" w:rsidRDefault="007E5E4F" w:rsidP="007E5E4F">
      <w:pPr>
        <w:pStyle w:val="Plattetekst"/>
        <w:numPr>
          <w:ilvl w:val="0"/>
          <w:numId w:val="4"/>
        </w:numPr>
      </w:pPr>
      <w:r>
        <w:t>Lucht-water-warmtepomp</w:t>
      </w:r>
    </w:p>
    <w:p w14:paraId="354B1086" w14:textId="77777777" w:rsidR="007E5E4F" w:rsidRDefault="007E5E4F" w:rsidP="007E5E4F">
      <w:pPr>
        <w:pStyle w:val="Plattetekst"/>
        <w:numPr>
          <w:ilvl w:val="0"/>
          <w:numId w:val="4"/>
        </w:numPr>
      </w:pPr>
      <w:r>
        <w:t>Zonneboiler voor sanitair warm water en ondersteuning van verwarming (hygiënische-waterboiler , die tevens als buffer voor energie fungeert);</w:t>
      </w:r>
    </w:p>
    <w:p w14:paraId="1BC5BEE5" w14:textId="3693ACCB" w:rsidR="007E5E4F" w:rsidRDefault="007E5E4F" w:rsidP="007E5E4F">
      <w:pPr>
        <w:pStyle w:val="Plattetekst"/>
        <w:numPr>
          <w:ilvl w:val="0"/>
          <w:numId w:val="4"/>
        </w:numPr>
      </w:pPr>
      <w:r>
        <w:t>Pompgroepen voor de warmteverdeling naar vloerverwarming en</w:t>
      </w:r>
      <w:r w:rsidR="00DA098B">
        <w:t>/of</w:t>
      </w:r>
      <w:r>
        <w:t xml:space="preserve"> radiatoren</w:t>
      </w:r>
    </w:p>
    <w:p w14:paraId="0C392558" w14:textId="77777777" w:rsidR="007E5E4F" w:rsidRDefault="007E5E4F" w:rsidP="007E5E4F">
      <w:pPr>
        <w:pStyle w:val="Plattetekst"/>
        <w:numPr>
          <w:ilvl w:val="0"/>
          <w:numId w:val="4"/>
        </w:numPr>
      </w:pPr>
      <w:r>
        <w:t>Aansluitingen van zonnecollector(en)</w:t>
      </w:r>
    </w:p>
    <w:p w14:paraId="075A65C2" w14:textId="77777777" w:rsidR="007E5E4F" w:rsidRDefault="007E5E4F" w:rsidP="007E5E4F">
      <w:pPr>
        <w:pStyle w:val="Plattetekst"/>
        <w:numPr>
          <w:ilvl w:val="0"/>
          <w:numId w:val="4"/>
        </w:numPr>
      </w:pPr>
      <w:r>
        <w:t>Aansluitingen van fotovoltaïsche panelen met inbegrip van omvormer</w:t>
      </w:r>
    </w:p>
    <w:p w14:paraId="31FE6D36" w14:textId="77777777" w:rsidR="007E5E4F" w:rsidRDefault="007E5E4F" w:rsidP="007E5E4F">
      <w:pPr>
        <w:pStyle w:val="Plattetekst"/>
        <w:numPr>
          <w:ilvl w:val="0"/>
          <w:numId w:val="4"/>
        </w:numPr>
      </w:pPr>
      <w:r>
        <w:t>Batterij-opslag-systeem voor een grotere autonomie en comfort bij stroomuitval</w:t>
      </w:r>
    </w:p>
    <w:p w14:paraId="08B09121" w14:textId="77777777" w:rsidR="007E5E4F" w:rsidRDefault="007E5E4F" w:rsidP="007E5E4F">
      <w:pPr>
        <w:pStyle w:val="Plattetekst"/>
        <w:numPr>
          <w:ilvl w:val="0"/>
          <w:numId w:val="4"/>
        </w:numPr>
      </w:pPr>
      <w:r>
        <w:t>Elektrische kast uitrusting + Internet-vooruitrusting</w:t>
      </w:r>
    </w:p>
    <w:p w14:paraId="78BC50AA" w14:textId="77777777" w:rsidR="007E5E4F" w:rsidRDefault="007E5E4F" w:rsidP="007E5E4F">
      <w:pPr>
        <w:pStyle w:val="Plattetekst"/>
        <w:numPr>
          <w:ilvl w:val="0"/>
          <w:numId w:val="4"/>
        </w:numPr>
      </w:pPr>
      <w:r>
        <w:t xml:space="preserve">Regenwaterrecuperatie (pompen en toebehoren) </w:t>
      </w:r>
    </w:p>
    <w:p w14:paraId="6B6F7401" w14:textId="77777777" w:rsidR="007E5E4F" w:rsidRDefault="007E5E4F" w:rsidP="007E5E4F">
      <w:pPr>
        <w:pStyle w:val="Plattetekst"/>
        <w:numPr>
          <w:ilvl w:val="0"/>
          <w:numId w:val="4"/>
        </w:numPr>
      </w:pPr>
      <w:r>
        <w:t>Een monitoringsysteem van de belangrijkste functies via Smartphone</w:t>
      </w:r>
    </w:p>
    <w:p w14:paraId="2DC23A15" w14:textId="77777777" w:rsidR="007E5E4F" w:rsidRPr="00232F43" w:rsidRDefault="007E5E4F" w:rsidP="007E5E4F">
      <w:pPr>
        <w:pStyle w:val="Plattetekst"/>
        <w:numPr>
          <w:ilvl w:val="0"/>
          <w:numId w:val="4"/>
        </w:numPr>
      </w:pPr>
      <w:r w:rsidRPr="00232F43">
        <w:t xml:space="preserve">Zonesturing </w:t>
      </w:r>
      <w:r>
        <w:t>voor het vastgelegde aantal wooneenheden (zie verder)</w:t>
      </w:r>
    </w:p>
    <w:p w14:paraId="0F3B0AE1" w14:textId="77777777" w:rsidR="007E5E4F" w:rsidRPr="00232F43" w:rsidRDefault="007E5E4F" w:rsidP="007E5E4F">
      <w:pPr>
        <w:pStyle w:val="Plattetekst"/>
        <w:numPr>
          <w:ilvl w:val="0"/>
          <w:numId w:val="4"/>
        </w:numPr>
      </w:pPr>
      <w:r w:rsidRPr="00232F43">
        <w:t xml:space="preserve">Caloriemeting CV </w:t>
      </w:r>
      <w:r>
        <w:t>voor het vastgelegde aantal wooneenheden (zie verder)</w:t>
      </w:r>
    </w:p>
    <w:p w14:paraId="671D05A5" w14:textId="77777777" w:rsidR="007E5E4F" w:rsidRPr="00232F43" w:rsidRDefault="007E5E4F" w:rsidP="007E5E4F">
      <w:pPr>
        <w:pStyle w:val="Plattetekst"/>
        <w:numPr>
          <w:ilvl w:val="0"/>
          <w:numId w:val="4"/>
        </w:numPr>
      </w:pPr>
      <w:r w:rsidRPr="00232F43">
        <w:t>Caloriemeting SWW</w:t>
      </w:r>
      <w:r>
        <w:t xml:space="preserve"> voor het vastgelegde aantal wooneenheden (zie verder)</w:t>
      </w:r>
    </w:p>
    <w:p w14:paraId="5F6E75B6" w14:textId="77777777" w:rsidR="007E5E4F" w:rsidRPr="00232F43" w:rsidRDefault="007E5E4F" w:rsidP="007E5E4F">
      <w:pPr>
        <w:pStyle w:val="Plattetekst"/>
        <w:numPr>
          <w:ilvl w:val="0"/>
          <w:numId w:val="4"/>
        </w:numPr>
      </w:pPr>
      <w:r w:rsidRPr="00232F43">
        <w:t>Warmwatertellers</w:t>
      </w:r>
      <w:r>
        <w:t xml:space="preserve"> voor het vastgelegde aantal wooneenheden (zie verder)</w:t>
      </w:r>
    </w:p>
    <w:p w14:paraId="2BA6C11A" w14:textId="77777777" w:rsidR="007E5E4F" w:rsidRDefault="007E5E4F" w:rsidP="007E5E4F">
      <w:pPr>
        <w:pStyle w:val="Plattetekst"/>
      </w:pPr>
    </w:p>
    <w:p w14:paraId="374AD132" w14:textId="5A58B166" w:rsidR="007E5E4F" w:rsidRDefault="007E5E4F" w:rsidP="007E5E4F">
      <w:pPr>
        <w:pStyle w:val="Plattetekst"/>
      </w:pPr>
      <w:r>
        <w:t>In de module dienen de hierboven vermelde onder</w:t>
      </w:r>
      <w:r w:rsidR="00DA098B">
        <w:t>d</w:t>
      </w:r>
      <w:r>
        <w:t xml:space="preserve">elen te worden geïntegreerd, waarbij alle onderdelen worden gedimensioneerd op basis van de aangeleverde plannen en EPB-verslagen. </w:t>
      </w:r>
    </w:p>
    <w:p w14:paraId="4C484155" w14:textId="77777777" w:rsidR="007E5E4F" w:rsidRDefault="007E5E4F" w:rsidP="007E5E4F">
      <w:pPr>
        <w:pStyle w:val="Plattetekst"/>
      </w:pPr>
    </w:p>
    <w:p w14:paraId="49E4AAF0" w14:textId="77777777" w:rsidR="007E5E4F" w:rsidRDefault="007E5E4F">
      <w:pPr>
        <w:rPr>
          <w:rFonts w:ascii="Trebuchet MS" w:eastAsia="Times New Roman" w:hAnsi="Trebuchet MS" w:cs="Times New Roman"/>
          <w:sz w:val="20"/>
          <w:szCs w:val="20"/>
          <w:lang w:val="nl-NL"/>
        </w:rPr>
      </w:pPr>
      <w:r>
        <w:br w:type="page"/>
      </w:r>
    </w:p>
    <w:p w14:paraId="0AFF2F60" w14:textId="769193EC" w:rsidR="007E5E4F" w:rsidRDefault="007E5E4F" w:rsidP="007E5E4F">
      <w:pPr>
        <w:pStyle w:val="Plattetekst"/>
      </w:pPr>
      <w:r>
        <w:lastRenderedPageBreak/>
        <w:t xml:space="preserve">De lucht-waterwarmtepomp voldoet aan de beschrijvingen onder 66.10.warmtepompen algemeen en volgende </w:t>
      </w:r>
      <w:proofErr w:type="spellStart"/>
      <w:r>
        <w:t>subartikels</w:t>
      </w:r>
      <w:proofErr w:type="spellEnd"/>
    </w:p>
    <w:p w14:paraId="7AC93303" w14:textId="77777777" w:rsidR="007E5E4F" w:rsidRPr="00AF5FE0" w:rsidRDefault="007E5E4F" w:rsidP="007E5E4F">
      <w:pPr>
        <w:pStyle w:val="Plattetekst"/>
      </w:pPr>
      <w:r w:rsidRPr="00AF5FE0">
        <w:t>66.13.</w:t>
      </w:r>
      <w:r w:rsidRPr="00AF5FE0">
        <w:tab/>
        <w:t xml:space="preserve">warmtepompen – lucht-water </w:t>
      </w:r>
      <w:proofErr w:type="spellStart"/>
      <w:r w:rsidRPr="00AF5FE0">
        <w:t>monoblok</w:t>
      </w:r>
      <w:proofErr w:type="spellEnd"/>
    </w:p>
    <w:p w14:paraId="13B702B0" w14:textId="77777777" w:rsidR="007E5E4F" w:rsidRPr="00901180" w:rsidRDefault="007E5E4F" w:rsidP="007E5E4F">
      <w:pPr>
        <w:pStyle w:val="Plattetekst"/>
      </w:pPr>
    </w:p>
    <w:p w14:paraId="6EEED281" w14:textId="77777777" w:rsidR="007E5E4F" w:rsidRDefault="007E5E4F" w:rsidP="007E5E4F">
      <w:pPr>
        <w:pStyle w:val="Plattetekst"/>
      </w:pPr>
      <w:r>
        <w:t>De zonneboiler voldoet aan de beschrijvingen onder 63.50.</w:t>
      </w:r>
      <w:r>
        <w:tab/>
        <w:t xml:space="preserve">zonneboilers – algemeen en volgende </w:t>
      </w:r>
      <w:proofErr w:type="spellStart"/>
      <w:r>
        <w:t>subartikels</w:t>
      </w:r>
      <w:proofErr w:type="spellEnd"/>
    </w:p>
    <w:p w14:paraId="5B0EA462" w14:textId="77777777" w:rsidR="007E5E4F" w:rsidRDefault="007E5E4F" w:rsidP="007E5E4F">
      <w:pPr>
        <w:pStyle w:val="Plattetekst"/>
      </w:pPr>
      <w:r w:rsidRPr="00AF5FE0">
        <w:t>63.51.</w:t>
      </w:r>
      <w:r w:rsidRPr="00AF5FE0">
        <w:tab/>
        <w:t xml:space="preserve">zonneboilers </w:t>
      </w:r>
      <w:r>
        <w:t>–</w:t>
      </w:r>
      <w:r w:rsidRPr="00AF5FE0">
        <w:t xml:space="preserve"> collectore</w:t>
      </w:r>
      <w:r>
        <w:t>n</w:t>
      </w:r>
    </w:p>
    <w:p w14:paraId="5BC537D0" w14:textId="77777777" w:rsidR="007E5E4F" w:rsidRDefault="007E5E4F" w:rsidP="007E5E4F">
      <w:pPr>
        <w:pStyle w:val="Plattetekst"/>
      </w:pPr>
      <w:r w:rsidRPr="00AF5FE0">
        <w:t>63.52.</w:t>
      </w:r>
      <w:r w:rsidRPr="00AF5FE0">
        <w:tab/>
        <w:t xml:space="preserve">zonneboilers </w:t>
      </w:r>
      <w:r>
        <w:t>–</w:t>
      </w:r>
      <w:r w:rsidRPr="00AF5FE0">
        <w:t xml:space="preserve"> opslagvat</w:t>
      </w:r>
    </w:p>
    <w:p w14:paraId="37FB1C33" w14:textId="77777777" w:rsidR="007E5E4F" w:rsidRDefault="007E5E4F" w:rsidP="007E5E4F">
      <w:pPr>
        <w:pStyle w:val="Plattetekst"/>
      </w:pPr>
      <w:r w:rsidRPr="00AF5FE0">
        <w:t>63.53.</w:t>
      </w:r>
      <w:r w:rsidRPr="00AF5FE0">
        <w:tab/>
        <w:t xml:space="preserve">zonneboilers - leidingsysteem en toebehoren </w:t>
      </w:r>
    </w:p>
    <w:p w14:paraId="3775B11C" w14:textId="77777777" w:rsidR="007E5E4F" w:rsidRPr="00AF5FE0" w:rsidRDefault="007E5E4F" w:rsidP="007E5E4F">
      <w:pPr>
        <w:pStyle w:val="Plattetekst"/>
      </w:pPr>
      <w:r w:rsidRPr="00AF5FE0">
        <w:t>63.54.</w:t>
      </w:r>
      <w:r w:rsidRPr="00AF5FE0">
        <w:tab/>
        <w:t xml:space="preserve">zonneboilers - </w:t>
      </w:r>
      <w:proofErr w:type="spellStart"/>
      <w:r w:rsidRPr="00AF5FE0">
        <w:t>circulatoren</w:t>
      </w:r>
      <w:proofErr w:type="spellEnd"/>
      <w:r w:rsidRPr="00AF5FE0">
        <w:t xml:space="preserve"> </w:t>
      </w:r>
    </w:p>
    <w:p w14:paraId="39185E2F" w14:textId="77777777" w:rsidR="007E5E4F" w:rsidRPr="00AF5FE0" w:rsidRDefault="007E5E4F" w:rsidP="007E5E4F">
      <w:pPr>
        <w:pStyle w:val="Plattetekst"/>
      </w:pPr>
      <w:r w:rsidRPr="00AF5FE0">
        <w:t>63.55.</w:t>
      </w:r>
      <w:r w:rsidRPr="00AF5FE0">
        <w:tab/>
        <w:t xml:space="preserve">zonneboilers - expansiesysteem </w:t>
      </w:r>
    </w:p>
    <w:p w14:paraId="76E1F0D6" w14:textId="77777777" w:rsidR="007E5E4F" w:rsidRPr="00AF5FE0" w:rsidRDefault="007E5E4F" w:rsidP="007E5E4F">
      <w:pPr>
        <w:pStyle w:val="Plattetekst"/>
      </w:pPr>
      <w:r w:rsidRPr="00AF5FE0">
        <w:t>63.56.</w:t>
      </w:r>
      <w:r w:rsidRPr="00AF5FE0">
        <w:tab/>
        <w:t>zonneboilers - regelsystemen en beveiligin</w:t>
      </w:r>
      <w:r>
        <w:t>g</w:t>
      </w:r>
    </w:p>
    <w:p w14:paraId="54E131AF" w14:textId="77777777" w:rsidR="007E5E4F" w:rsidRDefault="007E5E4F" w:rsidP="007E5E4F">
      <w:pPr>
        <w:pStyle w:val="Plattetekst"/>
      </w:pPr>
    </w:p>
    <w:p w14:paraId="5E3BEECC" w14:textId="77777777" w:rsidR="007E5E4F" w:rsidRDefault="007E5E4F" w:rsidP="007E5E4F">
      <w:pPr>
        <w:pStyle w:val="Plattetekst"/>
      </w:pPr>
      <w:r>
        <w:t xml:space="preserve">De pompgroepen voldoen aan </w:t>
      </w:r>
    </w:p>
    <w:p w14:paraId="3C44FB5A" w14:textId="77777777" w:rsidR="007E5E4F" w:rsidRDefault="007E5E4F" w:rsidP="007E5E4F">
      <w:pPr>
        <w:pStyle w:val="Plattetekst"/>
      </w:pPr>
    </w:p>
    <w:p w14:paraId="3D6B6D1C" w14:textId="77777777" w:rsidR="007E5E4F" w:rsidRDefault="007E5E4F" w:rsidP="007E5E4F">
      <w:pPr>
        <w:pStyle w:val="Plattetekst"/>
      </w:pPr>
      <w:r>
        <w:t xml:space="preserve">De regenwaterrecuperatie voldoet aan de beschrijvingen onder 62.71.regenwaterpompen – </w:t>
      </w:r>
      <w:proofErr w:type="spellStart"/>
      <w:r>
        <w:t>zelfaanzuigende</w:t>
      </w:r>
      <w:proofErr w:type="spellEnd"/>
      <w:r>
        <w:t xml:space="preserve"> hydrofoorgroep</w:t>
      </w:r>
    </w:p>
    <w:p w14:paraId="5D45949A" w14:textId="77777777" w:rsidR="007E5E4F" w:rsidRDefault="007E5E4F" w:rsidP="007E5E4F">
      <w:pPr>
        <w:pStyle w:val="Plattetekst"/>
      </w:pPr>
    </w:p>
    <w:p w14:paraId="5162B215" w14:textId="77777777" w:rsidR="007E5E4F" w:rsidRPr="00232F43" w:rsidRDefault="007E5E4F" w:rsidP="007E5E4F">
      <w:pPr>
        <w:pStyle w:val="Plattetekst"/>
      </w:pPr>
    </w:p>
    <w:p w14:paraId="5256BD2C" w14:textId="77777777" w:rsidR="007E5E4F" w:rsidRDefault="007E5E4F" w:rsidP="007E5E4F">
      <w:pPr>
        <w:pStyle w:val="Plattetekst"/>
      </w:pPr>
      <w:r>
        <w:t>De inschrijver geeft afzonderlijk een prijs op voor volgende delen:</w:t>
      </w:r>
    </w:p>
    <w:p w14:paraId="64A43040" w14:textId="1951B999" w:rsidR="007E5E4F" w:rsidRDefault="007E5E4F" w:rsidP="007E5E4F">
      <w:pPr>
        <w:pStyle w:val="Plattetekst"/>
        <w:numPr>
          <w:ilvl w:val="0"/>
          <w:numId w:val="1"/>
        </w:numPr>
      </w:pPr>
      <w:r>
        <w:t xml:space="preserve">Het leveren van de bouwkundige module, exclusief de </w:t>
      </w:r>
      <w:proofErr w:type="spellStart"/>
      <w:r>
        <w:t>de</w:t>
      </w:r>
      <w:proofErr w:type="spellEnd"/>
      <w:r>
        <w:t xml:space="preserve"> integreren technische onderdelen </w:t>
      </w:r>
    </w:p>
    <w:p w14:paraId="09DBFD57" w14:textId="77777777" w:rsidR="007E5E4F" w:rsidRDefault="007E5E4F" w:rsidP="007E5E4F">
      <w:pPr>
        <w:pStyle w:val="Plattetekst"/>
        <w:numPr>
          <w:ilvl w:val="0"/>
          <w:numId w:val="1"/>
        </w:numPr>
      </w:pPr>
      <w:r>
        <w:t>het plaatsen van de bouwkundige module en waterdicht aanwerken (</w:t>
      </w:r>
      <w:proofErr w:type="spellStart"/>
      <w:r>
        <w:t>dakwerken</w:t>
      </w:r>
      <w:proofErr w:type="spellEnd"/>
      <w:r>
        <w:t xml:space="preserve">,…) </w:t>
      </w:r>
    </w:p>
    <w:p w14:paraId="5792B045" w14:textId="77777777" w:rsidR="007E5E4F" w:rsidRDefault="007E5E4F" w:rsidP="007E5E4F">
      <w:pPr>
        <w:pStyle w:val="Plattetekst"/>
        <w:numPr>
          <w:ilvl w:val="0"/>
          <w:numId w:val="1"/>
        </w:numPr>
      </w:pPr>
      <w:r>
        <w:t xml:space="preserve">het leveren en plaatsen van de te integreren technische onderdelen zoals hierboven beschreven, waarbij alle onderdelen worden gedimensioneerd op basis van de aangeleverde plannen en EPB-verslagen. </w:t>
      </w:r>
    </w:p>
    <w:p w14:paraId="318133B7" w14:textId="77777777" w:rsidR="007E5E4F" w:rsidRDefault="007E5E4F" w:rsidP="007E5E4F">
      <w:pPr>
        <w:pStyle w:val="Plattetekst"/>
        <w:numPr>
          <w:ilvl w:val="0"/>
          <w:numId w:val="1"/>
        </w:numPr>
      </w:pPr>
      <w:r>
        <w:t>Opstart/keuring: - Zowel de wettelijke keuringen (België) als de opstart en administratieve afhandeling van attesten dienen inbegrepen te zijn.</w:t>
      </w:r>
    </w:p>
    <w:p w14:paraId="44A9B57E" w14:textId="77777777" w:rsidR="007E5E4F" w:rsidRDefault="007E5E4F" w:rsidP="007E5E4F">
      <w:pPr>
        <w:pStyle w:val="Plattetekst"/>
      </w:pPr>
    </w:p>
    <w:p w14:paraId="3DA47D96" w14:textId="77777777" w:rsidR="007E5E4F" w:rsidRDefault="007E5E4F" w:rsidP="007E5E4F">
      <w:pPr>
        <w:pStyle w:val="Plattetekst"/>
      </w:pPr>
      <w:r>
        <w:t>Het leveren en plaatsen van de thermische zonnecollectoren en de fotovoltaïsche panelen inclusief onderstellen voor plaatsing op het dak zijn beschreven onder en begrepen in een ander artikel van het bestek.</w:t>
      </w:r>
    </w:p>
    <w:p w14:paraId="6A72C306" w14:textId="77777777" w:rsidR="007E5E4F" w:rsidRDefault="007E5E4F" w:rsidP="007E5E4F">
      <w:pPr>
        <w:pStyle w:val="Plattetekst"/>
      </w:pPr>
    </w:p>
    <w:p w14:paraId="4FB0ADB9" w14:textId="77777777" w:rsidR="007E5E4F" w:rsidRPr="005503BC" w:rsidRDefault="007E5E4F" w:rsidP="007E5E4F">
      <w:pPr>
        <w:pStyle w:val="Kop6"/>
        <w:rPr>
          <w:lang w:val="nl-BE"/>
        </w:rPr>
      </w:pPr>
      <w:r w:rsidRPr="005503BC">
        <w:rPr>
          <w:lang w:val="nl-BE"/>
        </w:rPr>
        <w:t>Toepassing</w:t>
      </w:r>
    </w:p>
    <w:p w14:paraId="54DBA624" w14:textId="77777777" w:rsidR="0021174A" w:rsidRDefault="0021174A"/>
    <w:sectPr w:rsidR="002117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537"/>
    <w:multiLevelType w:val="hybridMultilevel"/>
    <w:tmpl w:val="4D0A083A"/>
    <w:lvl w:ilvl="0" w:tplc="DB5608EC">
      <w:numFmt w:val="bullet"/>
      <w:lvlText w:val="-"/>
      <w:lvlJc w:val="left"/>
      <w:pPr>
        <w:ind w:left="1079" w:hanging="360"/>
      </w:pPr>
      <w:rPr>
        <w:rFonts w:ascii="Trebuchet MS" w:eastAsia="Times New Roman" w:hAnsi="Trebuchet M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0DC074A"/>
    <w:multiLevelType w:val="hybridMultilevel"/>
    <w:tmpl w:val="A454C6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DBC2FF1"/>
    <w:multiLevelType w:val="hybridMultilevel"/>
    <w:tmpl w:val="B584F9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A887EA8"/>
    <w:multiLevelType w:val="hybridMultilevel"/>
    <w:tmpl w:val="9C4C86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95844037">
    <w:abstractNumId w:val="0"/>
  </w:num>
  <w:num w:numId="2" w16cid:durableId="564684326">
    <w:abstractNumId w:val="1"/>
  </w:num>
  <w:num w:numId="3" w16cid:durableId="1367103502">
    <w:abstractNumId w:val="2"/>
  </w:num>
  <w:num w:numId="4" w16cid:durableId="1855458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4F"/>
    <w:rsid w:val="0021174A"/>
    <w:rsid w:val="007E5E4F"/>
    <w:rsid w:val="008C268C"/>
    <w:rsid w:val="00DA09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7AF21"/>
  <w15:chartTrackingRefBased/>
  <w15:docId w15:val="{538FA78E-7AD5-4723-97AA-5AC84C5C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autoRedefine/>
    <w:qFormat/>
    <w:rsid w:val="007E5E4F"/>
    <w:pPr>
      <w:keepNext/>
      <w:tabs>
        <w:tab w:val="left" w:pos="0"/>
        <w:tab w:val="left" w:pos="709"/>
        <w:tab w:val="right" w:pos="9072"/>
      </w:tabs>
      <w:overflowPunct w:val="0"/>
      <w:autoSpaceDE w:val="0"/>
      <w:autoSpaceDN w:val="0"/>
      <w:adjustRightInd w:val="0"/>
      <w:spacing w:before="360" w:after="60" w:line="240" w:lineRule="auto"/>
      <w:textAlignment w:val="baseline"/>
      <w:outlineLvl w:val="1"/>
    </w:pPr>
    <w:rPr>
      <w:rFonts w:ascii="Trebuchet MS" w:eastAsia="Times New Roman" w:hAnsi="Trebuchet MS" w:cs="Times New Roman"/>
      <w:b/>
      <w:bCs/>
      <w:color w:val="800000"/>
      <w:sz w:val="20"/>
      <w:szCs w:val="28"/>
      <w:lang w:val="nl-NL"/>
    </w:rPr>
  </w:style>
  <w:style w:type="paragraph" w:styleId="Kop4">
    <w:name w:val="heading 4"/>
    <w:basedOn w:val="Standaard"/>
    <w:next w:val="Standaard"/>
    <w:link w:val="Kop4Char"/>
    <w:uiPriority w:val="9"/>
    <w:semiHidden/>
    <w:unhideWhenUsed/>
    <w:qFormat/>
    <w:rsid w:val="008C268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Kop6">
    <w:name w:val="heading 6"/>
    <w:basedOn w:val="Standaard"/>
    <w:next w:val="Standaard"/>
    <w:link w:val="Kop6Char"/>
    <w:autoRedefine/>
    <w:qFormat/>
    <w:rsid w:val="007E5E4F"/>
    <w:pPr>
      <w:overflowPunct w:val="0"/>
      <w:autoSpaceDE w:val="0"/>
      <w:autoSpaceDN w:val="0"/>
      <w:adjustRightInd w:val="0"/>
      <w:spacing w:before="120" w:after="80" w:line="240" w:lineRule="auto"/>
      <w:textAlignment w:val="baseline"/>
      <w:outlineLvl w:val="5"/>
    </w:pPr>
    <w:rPr>
      <w:rFonts w:ascii="Trebuchet MS" w:eastAsia="Times New Roman" w:hAnsi="Trebuchet MS" w:cs="Times New Roman"/>
      <w:b/>
      <w:sz w:val="20"/>
      <w:szCs w:val="20"/>
      <w:u w:val="single"/>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irculairkop4">
    <w:name w:val="circulair_kop_4"/>
    <w:basedOn w:val="Kop4"/>
    <w:link w:val="circulairkop4Char"/>
    <w:qFormat/>
    <w:rsid w:val="008C268C"/>
    <w:pPr>
      <w:keepLines w:val="0"/>
      <w:tabs>
        <w:tab w:val="left" w:pos="709"/>
        <w:tab w:val="left" w:pos="1134"/>
        <w:tab w:val="right" w:pos="9072"/>
      </w:tabs>
      <w:suppressAutoHyphens/>
      <w:overflowPunct w:val="0"/>
      <w:autoSpaceDE w:val="0"/>
      <w:autoSpaceDN w:val="0"/>
      <w:adjustRightInd w:val="0"/>
      <w:spacing w:before="200" w:after="60" w:line="240" w:lineRule="auto"/>
      <w:textAlignment w:val="baseline"/>
    </w:pPr>
    <w:rPr>
      <w:rFonts w:ascii="Trebuchet MS" w:eastAsiaTheme="minorHAnsi" w:hAnsi="Trebuchet MS" w:cs="Arial"/>
      <w:b/>
      <w:i w:val="0"/>
      <w:iCs w:val="0"/>
      <w:color w:val="00B050"/>
      <w:szCs w:val="26"/>
      <w:lang w:val="nl-NL"/>
    </w:rPr>
  </w:style>
  <w:style w:type="character" w:customStyle="1" w:styleId="circulairkop4Char">
    <w:name w:val="circulair_kop_4 Char"/>
    <w:basedOn w:val="Kop4Char"/>
    <w:link w:val="circulairkop4"/>
    <w:rsid w:val="008C268C"/>
    <w:rPr>
      <w:rFonts w:ascii="Trebuchet MS" w:eastAsiaTheme="majorEastAsia" w:hAnsi="Trebuchet MS" w:cs="Arial"/>
      <w:b/>
      <w:i w:val="0"/>
      <w:iCs w:val="0"/>
      <w:color w:val="00B050"/>
      <w:szCs w:val="26"/>
      <w:lang w:val="nl-NL"/>
    </w:rPr>
  </w:style>
  <w:style w:type="character" w:customStyle="1" w:styleId="Kop4Char">
    <w:name w:val="Kop 4 Char"/>
    <w:basedOn w:val="Standaardalinea-lettertype"/>
    <w:link w:val="Kop4"/>
    <w:uiPriority w:val="9"/>
    <w:semiHidden/>
    <w:rsid w:val="008C268C"/>
    <w:rPr>
      <w:rFonts w:asciiTheme="majorHAnsi" w:eastAsiaTheme="majorEastAsia" w:hAnsiTheme="majorHAnsi" w:cstheme="majorBidi"/>
      <w:i/>
      <w:iCs/>
      <w:color w:val="2F5496" w:themeColor="accent1" w:themeShade="BF"/>
    </w:rPr>
  </w:style>
  <w:style w:type="character" w:customStyle="1" w:styleId="Kop2Char">
    <w:name w:val="Kop 2 Char"/>
    <w:basedOn w:val="Standaardalinea-lettertype"/>
    <w:link w:val="Kop2"/>
    <w:rsid w:val="007E5E4F"/>
    <w:rPr>
      <w:rFonts w:ascii="Trebuchet MS" w:eastAsia="Times New Roman" w:hAnsi="Trebuchet MS" w:cs="Times New Roman"/>
      <w:b/>
      <w:bCs/>
      <w:color w:val="800000"/>
      <w:sz w:val="20"/>
      <w:szCs w:val="28"/>
      <w:lang w:val="nl-NL"/>
    </w:rPr>
  </w:style>
  <w:style w:type="character" w:customStyle="1" w:styleId="Kop6Char">
    <w:name w:val="Kop 6 Char"/>
    <w:basedOn w:val="Standaardalinea-lettertype"/>
    <w:link w:val="Kop6"/>
    <w:rsid w:val="007E5E4F"/>
    <w:rPr>
      <w:rFonts w:ascii="Trebuchet MS" w:eastAsia="Times New Roman" w:hAnsi="Trebuchet MS" w:cs="Times New Roman"/>
      <w:b/>
      <w:sz w:val="20"/>
      <w:szCs w:val="20"/>
      <w:u w:val="single"/>
      <w:lang w:val="nl"/>
    </w:rPr>
  </w:style>
  <w:style w:type="paragraph" w:styleId="Plattetekst">
    <w:name w:val="Body Text"/>
    <w:basedOn w:val="Standaard"/>
    <w:link w:val="PlattetekstChar"/>
    <w:autoRedefine/>
    <w:rsid w:val="007E5E4F"/>
    <w:pPr>
      <w:overflowPunct w:val="0"/>
      <w:autoSpaceDE w:val="0"/>
      <w:autoSpaceDN w:val="0"/>
      <w:adjustRightInd w:val="0"/>
      <w:spacing w:before="20" w:after="20" w:line="240" w:lineRule="auto"/>
      <w:contextualSpacing/>
      <w:textAlignment w:val="baseline"/>
    </w:pPr>
    <w:rPr>
      <w:rFonts w:ascii="Trebuchet MS" w:eastAsia="Times New Roman" w:hAnsi="Trebuchet MS" w:cs="Times New Roman"/>
      <w:sz w:val="20"/>
      <w:szCs w:val="20"/>
      <w:lang w:val="nl-NL"/>
    </w:rPr>
  </w:style>
  <w:style w:type="character" w:customStyle="1" w:styleId="PlattetekstChar">
    <w:name w:val="Platte tekst Char"/>
    <w:basedOn w:val="Standaardalinea-lettertype"/>
    <w:link w:val="Plattetekst"/>
    <w:rsid w:val="007E5E4F"/>
    <w:rPr>
      <w:rFonts w:ascii="Trebuchet MS" w:eastAsia="Times New Roman" w:hAnsi="Trebuchet MS" w:cs="Times New Roman"/>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4054</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Blykers</dc:creator>
  <cp:keywords/>
  <dc:description/>
  <cp:lastModifiedBy>kris blykers</cp:lastModifiedBy>
  <cp:revision>2</cp:revision>
  <dcterms:created xsi:type="dcterms:W3CDTF">2022-10-07T14:27:00Z</dcterms:created>
  <dcterms:modified xsi:type="dcterms:W3CDTF">2022-10-07T14:27:00Z</dcterms:modified>
</cp:coreProperties>
</file>